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14" w:rsidRDefault="00EB54BC">
      <w:r w:rsidRPr="00EB54BC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pt;margin-top:-1in;width:738pt;height:558pt;z-index:251656704" strokeweight="4.5pt">
            <v:stroke linestyle="thinThick"/>
            <v:textbox style="mso-next-textbox:#_x0000_s1026">
              <w:txbxContent>
                <w:p w:rsidR="001C5D14" w:rsidRDefault="001C5D14"/>
                <w:tbl>
                  <w:tblPr>
                    <w:tblW w:w="0" w:type="auto"/>
                    <w:tblInd w:w="5426" w:type="dxa"/>
                    <w:tblLayout w:type="fixed"/>
                    <w:tblLook w:val="0000"/>
                  </w:tblPr>
                  <w:tblGrid>
                    <w:gridCol w:w="3367"/>
                  </w:tblGrid>
                  <w:tr w:rsidR="001C5D14">
                    <w:trPr>
                      <w:trHeight w:val="2306"/>
                    </w:trPr>
                    <w:tc>
                      <w:tcPr>
                        <w:tcW w:w="3367" w:type="dxa"/>
                      </w:tcPr>
                      <w:p w:rsidR="001C5D14" w:rsidRDefault="00207705" w:rsidP="00D00501">
                        <w:pPr>
                          <w:tabs>
                            <w:tab w:val="left" w:pos="3870"/>
                            <w:tab w:val="left" w:pos="8460"/>
                          </w:tabs>
                          <w:jc w:val="center"/>
                          <w:rPr>
                            <w:sz w:val="20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16330" cy="1605280"/>
                              <wp:effectExtent l="19050" t="0" r="7620" b="0"/>
                              <wp:docPr id="1" name="Picture 1" descr="Logo 45x25 b&amp;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45x25 b&amp;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330" cy="160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5D14" w:rsidRDefault="001C5D14"/>
                <w:p w:rsidR="001C5D14" w:rsidRPr="007D459C" w:rsidRDefault="001C5D14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7D459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BOTSWANA GENERAL CERTIFICATE OF SECONDARY EDUCATION (BGCSE)</w:t>
                  </w:r>
                </w:p>
                <w:p w:rsidR="001C5D14" w:rsidRPr="007D459C" w:rsidRDefault="001C5D14">
                  <w:pPr>
                    <w:pStyle w:val="Heading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  <w:b w:val="0"/>
                      <w:bCs w:val="0"/>
                      <w:szCs w:val="32"/>
                    </w:rPr>
                  </w:pPr>
                  <w:proofErr w:type="gramStart"/>
                  <w:r w:rsidRPr="007D459C">
                    <w:rPr>
                      <w:rFonts w:ascii="Arial" w:hAnsi="Arial" w:cs="Arial"/>
                      <w:szCs w:val="32"/>
                    </w:rPr>
                    <w:t>and</w:t>
                  </w:r>
                  <w:proofErr w:type="gramEnd"/>
                  <w:r w:rsidRPr="007D459C">
                    <w:rPr>
                      <w:rFonts w:ascii="Arial" w:hAnsi="Arial" w:cs="Arial"/>
                      <w:szCs w:val="32"/>
                    </w:rPr>
                    <w:t xml:space="preserve"> </w:t>
                  </w:r>
                </w:p>
                <w:p w:rsidR="001C5D14" w:rsidRPr="007D459C" w:rsidRDefault="001C5D14" w:rsidP="00972D6A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7D459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GENERAL CERTIFI</w:t>
                  </w:r>
                  <w:r w:rsidR="00972D6A" w:rsidRPr="007D459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CATE OF EDUCATION (GCE) O LEVEL</w:t>
                  </w:r>
                </w:p>
                <w:p w:rsidR="00972D6A" w:rsidRDefault="00972D6A" w:rsidP="00972D6A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</w:p>
                <w:p w:rsidR="001C5D14" w:rsidRPr="007D459C" w:rsidRDefault="001C5D14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7D459C">
                    <w:rPr>
                      <w:sz w:val="32"/>
                      <w:szCs w:val="32"/>
                    </w:rPr>
                    <w:t>RE</w:t>
                  </w:r>
                  <w:r w:rsidR="00207705" w:rsidRPr="007D459C">
                    <w:rPr>
                      <w:sz w:val="32"/>
                      <w:szCs w:val="32"/>
                    </w:rPr>
                    <w:t>GISTRATION FOR THE NOVEMBER 2012</w:t>
                  </w:r>
                  <w:r w:rsidRPr="007D459C">
                    <w:rPr>
                      <w:sz w:val="32"/>
                      <w:szCs w:val="32"/>
                    </w:rPr>
                    <w:t xml:space="preserve"> EXAMINATION</w:t>
                  </w:r>
                </w:p>
                <w:p w:rsidR="001C5D14" w:rsidRDefault="001C5D14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</w:p>
                <w:p w:rsidR="001C5D14" w:rsidRPr="00345098" w:rsidRDefault="000B1806" w:rsidP="00A92C71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The Botswana E</w:t>
                  </w:r>
                  <w:r w:rsidR="00C034AC">
                    <w:rPr>
                      <w:rFonts w:ascii="Arial" w:hAnsi="Arial" w:cs="Arial"/>
                      <w:sz w:val="28"/>
                      <w:szCs w:val="28"/>
                    </w:rPr>
                    <w:t xml:space="preserve">xaminations Council (BEC) will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start r</w:t>
                  </w:r>
                  <w:r w:rsidR="001C5D14" w:rsidRPr="00345098">
                    <w:rPr>
                      <w:rFonts w:ascii="Arial" w:hAnsi="Arial" w:cs="Arial"/>
                      <w:sz w:val="28"/>
                      <w:szCs w:val="28"/>
                    </w:rPr>
                    <w:t>egistration for Private Candidate</w:t>
                  </w:r>
                  <w:r w:rsidR="00207705">
                    <w:rPr>
                      <w:rFonts w:ascii="Arial" w:hAnsi="Arial" w:cs="Arial"/>
                      <w:sz w:val="28"/>
                      <w:szCs w:val="28"/>
                    </w:rPr>
                    <w:t xml:space="preserve">s on </w:t>
                  </w:r>
                  <w:r w:rsidR="001C5D14" w:rsidRPr="00345098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207705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1C5D14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68633E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March </w:t>
                  </w:r>
                  <w:r w:rsidR="00207705">
                    <w:rPr>
                      <w:rFonts w:ascii="Arial" w:hAnsi="Arial" w:cs="Arial"/>
                      <w:sz w:val="28"/>
                      <w:szCs w:val="28"/>
                    </w:rPr>
                    <w:t>2012</w:t>
                  </w:r>
                  <w:r w:rsidR="0018059E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68633E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and will continue until </w:t>
                  </w:r>
                  <w:r w:rsidR="003D2F13">
                    <w:rPr>
                      <w:rFonts w:ascii="Arial" w:hAnsi="Arial" w:cs="Arial"/>
                      <w:sz w:val="28"/>
                      <w:szCs w:val="28"/>
                    </w:rPr>
                    <w:t>15 May</w:t>
                  </w:r>
                  <w:r w:rsidR="00941D44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68633E" w:rsidRPr="00345098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="00207705">
                    <w:rPr>
                      <w:rFonts w:ascii="Arial" w:hAnsi="Arial" w:cs="Arial"/>
                      <w:sz w:val="28"/>
                      <w:szCs w:val="28"/>
                    </w:rPr>
                    <w:t>012</w:t>
                  </w:r>
                  <w:r w:rsidR="004A2657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. </w:t>
                  </w:r>
                  <w:r w:rsidR="001C5D14" w:rsidRPr="00345098">
                    <w:rPr>
                      <w:rFonts w:ascii="Arial" w:hAnsi="Arial" w:cs="Arial"/>
                      <w:sz w:val="28"/>
                      <w:szCs w:val="28"/>
                    </w:rPr>
                    <w:t>For details of how to register, candidates should contact the BGCSE Off</w:t>
                  </w:r>
                  <w:r w:rsidR="0019206D">
                    <w:rPr>
                      <w:rFonts w:ascii="Arial" w:hAnsi="Arial" w:cs="Arial"/>
                      <w:sz w:val="28"/>
                      <w:szCs w:val="28"/>
                    </w:rPr>
                    <w:t>ice at</w:t>
                  </w:r>
                  <w:r w:rsidR="00A92C71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BEC</w:t>
                  </w:r>
                  <w:r w:rsidR="00A92C71" w:rsidRPr="00345098">
                    <w:rPr>
                      <w:rFonts w:ascii="Arial" w:hAnsi="Arial" w:cs="Arial"/>
                      <w:sz w:val="28"/>
                      <w:szCs w:val="28"/>
                    </w:rPr>
                    <w:t xml:space="preserve"> (Telephone </w:t>
                  </w:r>
                  <w:r w:rsidR="0019206D">
                    <w:rPr>
                      <w:rFonts w:ascii="Arial" w:hAnsi="Arial" w:cs="Arial"/>
                      <w:sz w:val="28"/>
                      <w:szCs w:val="28"/>
                    </w:rPr>
                    <w:t>3650700/</w:t>
                  </w:r>
                  <w:r w:rsidR="00A92C71" w:rsidRPr="00345098">
                    <w:rPr>
                      <w:rFonts w:ascii="Arial" w:hAnsi="Arial" w:cs="Arial"/>
                      <w:sz w:val="28"/>
                      <w:szCs w:val="28"/>
                    </w:rPr>
                    <w:t>3184383), Plot No. 54862, Botswana Examinations Council Building, Situated along Western by Pass between Mass-Media Complex and Westgate Mall.</w:t>
                  </w:r>
                  <w:r w:rsidR="003D2F13">
                    <w:rPr>
                      <w:rFonts w:ascii="Arial" w:hAnsi="Arial" w:cs="Arial"/>
                      <w:sz w:val="28"/>
                      <w:szCs w:val="28"/>
                    </w:rPr>
                    <w:t xml:space="preserve"> Registration in Francistown will be from 02 to 15 May </w:t>
                  </w:r>
                </w:p>
                <w:p w:rsidR="001C5D14" w:rsidRDefault="003D2F13" w:rsidP="003D2F1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2012 at BOCODOL Offices. Candidates who have birth certificates are encouraged </w:t>
                  </w:r>
                </w:p>
                <w:p w:rsidR="001C5D14" w:rsidRDefault="00F35C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</w:t>
                  </w:r>
                  <w:r w:rsidR="003D2F13">
                    <w:t>o bring copies for registration.</w:t>
                  </w:r>
                </w:p>
              </w:txbxContent>
            </v:textbox>
          </v:shape>
        </w:pict>
      </w:r>
    </w:p>
    <w:p w:rsidR="001C5D14" w:rsidRDefault="00EB54BC">
      <w:r w:rsidRPr="00EB54BC">
        <w:rPr>
          <w:noProof/>
          <w:sz w:val="20"/>
          <w:lang w:val="en-US"/>
        </w:rPr>
        <w:pict>
          <v:shape id="_x0000_s1028" type="#_x0000_t202" style="position:absolute;margin-left:12pt;margin-top:265.2pt;width:3in;height:198pt;z-index:251658752">
            <v:textbox style="mso-next-textbox:#_x0000_s1028">
              <w:txbxContent>
                <w:p w:rsidR="001C5D14" w:rsidRDefault="001C5D14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All Private Candidates pay P82.00 for the local and Registrat</w:t>
                  </w:r>
                  <w:r w:rsidR="00941D44">
                    <w:rPr>
                      <w:rFonts w:ascii="Arial" w:hAnsi="Arial" w:cs="Arial"/>
                      <w:sz w:val="20"/>
                    </w:rPr>
                    <w:t>ion Fee. Candidates then pay P</w:t>
                  </w:r>
                  <w:r w:rsidR="0068633E">
                    <w:rPr>
                      <w:rFonts w:ascii="Arial" w:hAnsi="Arial" w:cs="Arial"/>
                      <w:sz w:val="20"/>
                    </w:rPr>
                    <w:t>2</w:t>
                  </w:r>
                  <w:r w:rsidR="007B4509">
                    <w:rPr>
                      <w:rFonts w:ascii="Arial" w:hAnsi="Arial" w:cs="Arial"/>
                      <w:sz w:val="20"/>
                    </w:rPr>
                    <w:t>47</w:t>
                  </w:r>
                  <w:r>
                    <w:rPr>
                      <w:rFonts w:ascii="Arial" w:hAnsi="Arial" w:cs="Arial"/>
                      <w:sz w:val="20"/>
                    </w:rPr>
                    <w:t>.00 for each subject.</w:t>
                  </w:r>
                </w:p>
                <w:p w:rsidR="001C5D14" w:rsidRDefault="001C5D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C5D14" w:rsidRDefault="001C5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Total fees are as follows:</w:t>
                  </w:r>
                </w:p>
                <w:p w:rsidR="001C5D14" w:rsidRDefault="001C5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1C5D14" w:rsidRDefault="00941D44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subject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P</w:t>
                  </w:r>
                  <w:r w:rsidR="0068633E">
                    <w:rPr>
                      <w:rFonts w:ascii="Arial" w:hAnsi="Arial" w:cs="Arial"/>
                      <w:sz w:val="20"/>
                    </w:rPr>
                    <w:t xml:space="preserve"> 3</w:t>
                  </w:r>
                  <w:r w:rsidR="00F13828">
                    <w:rPr>
                      <w:rFonts w:ascii="Arial" w:hAnsi="Arial" w:cs="Arial"/>
                      <w:sz w:val="20"/>
                    </w:rPr>
                    <w:t>29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68633E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 subjects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P 5</w:t>
                  </w:r>
                  <w:r w:rsidR="006B3C7C">
                    <w:rPr>
                      <w:rFonts w:ascii="Arial" w:hAnsi="Arial" w:cs="Arial"/>
                      <w:sz w:val="20"/>
                    </w:rPr>
                    <w:t>7</w:t>
                  </w:r>
                  <w:r w:rsidR="00F13828">
                    <w:rPr>
                      <w:rFonts w:ascii="Arial" w:hAnsi="Arial" w:cs="Arial"/>
                      <w:sz w:val="20"/>
                    </w:rPr>
                    <w:t>6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941D44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 subjects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P</w:t>
                  </w:r>
                  <w:r w:rsidR="006863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F13828">
                    <w:rPr>
                      <w:rFonts w:ascii="Arial" w:hAnsi="Arial" w:cs="Arial"/>
                      <w:sz w:val="20"/>
                    </w:rPr>
                    <w:t>823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68633E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 subjects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P</w:t>
                  </w:r>
                  <w:r w:rsidR="00F13828">
                    <w:rPr>
                      <w:rFonts w:ascii="Arial" w:hAnsi="Arial" w:cs="Arial"/>
                      <w:sz w:val="20"/>
                    </w:rPr>
                    <w:t>1 070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68633E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 subjects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P1</w:t>
                  </w:r>
                  <w:r w:rsidR="006B3C7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F13828">
                    <w:rPr>
                      <w:rFonts w:ascii="Arial" w:hAnsi="Arial" w:cs="Arial"/>
                      <w:sz w:val="20"/>
                    </w:rPr>
                    <w:t>317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1C5D14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 su</w:t>
                  </w:r>
                  <w:r w:rsidR="00941D44">
                    <w:rPr>
                      <w:rFonts w:ascii="Arial" w:hAnsi="Arial" w:cs="Arial"/>
                      <w:sz w:val="20"/>
                    </w:rPr>
                    <w:t>bjects</w:t>
                  </w:r>
                  <w:r w:rsidR="00941D44">
                    <w:rPr>
                      <w:rFonts w:ascii="Arial" w:hAnsi="Arial" w:cs="Arial"/>
                      <w:sz w:val="20"/>
                    </w:rPr>
                    <w:tab/>
                    <w:t>P</w:t>
                  </w:r>
                  <w:r w:rsidR="006B3C7C">
                    <w:rPr>
                      <w:rFonts w:ascii="Arial" w:hAnsi="Arial" w:cs="Arial"/>
                      <w:sz w:val="20"/>
                    </w:rPr>
                    <w:t xml:space="preserve">1 </w:t>
                  </w:r>
                  <w:r w:rsidR="00F13828">
                    <w:rPr>
                      <w:rFonts w:ascii="Arial" w:hAnsi="Arial" w:cs="Arial"/>
                      <w:sz w:val="20"/>
                    </w:rPr>
                    <w:t>564</w:t>
                  </w:r>
                  <w:r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941D44" w:rsidP="0068633E">
                  <w:pPr>
                    <w:ind w:firstLine="7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 subjects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 w:rsidR="006B3C7C">
                    <w:rPr>
                      <w:rFonts w:ascii="Arial" w:hAnsi="Arial" w:cs="Arial"/>
                      <w:sz w:val="20"/>
                    </w:rPr>
                    <w:t xml:space="preserve">P1 </w:t>
                  </w:r>
                  <w:r w:rsidR="00F13828">
                    <w:rPr>
                      <w:rFonts w:ascii="Arial" w:hAnsi="Arial" w:cs="Arial"/>
                      <w:sz w:val="20"/>
                    </w:rPr>
                    <w:t>811</w:t>
                  </w:r>
                  <w:r w:rsidR="001C5D14">
                    <w:rPr>
                      <w:rFonts w:ascii="Arial" w:hAnsi="Arial" w:cs="Arial"/>
                      <w:sz w:val="20"/>
                    </w:rPr>
                    <w:t>.00</w:t>
                  </w:r>
                </w:p>
                <w:p w:rsidR="001C5D14" w:rsidRDefault="004A265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    </w:t>
                  </w:r>
                  <w:proofErr w:type="gramStart"/>
                  <w:r w:rsidR="001C5D14">
                    <w:rPr>
                      <w:rFonts w:ascii="Arial" w:hAnsi="Arial" w:cs="Arial"/>
                      <w:sz w:val="20"/>
                    </w:rPr>
                    <w:t>etc</w:t>
                  </w:r>
                  <w:proofErr w:type="gramEnd"/>
                  <w:r w:rsidR="001C5D14">
                    <w:rPr>
                      <w:rFonts w:ascii="Arial" w:hAnsi="Arial" w:cs="Arial"/>
                      <w:sz w:val="20"/>
                    </w:rPr>
                    <w:t>…….</w:t>
                  </w:r>
                </w:p>
                <w:p w:rsidR="001C5D14" w:rsidRDefault="001C5D14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Candidates are also advised to provide two passport size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photos at registration.</w:t>
                  </w:r>
                </w:p>
              </w:txbxContent>
            </v:textbox>
          </v:shape>
        </w:pict>
      </w:r>
      <w:r w:rsidRPr="00EB54BC">
        <w:rPr>
          <w:noProof/>
          <w:sz w:val="20"/>
          <w:lang w:val="en-US"/>
        </w:rPr>
        <w:pict>
          <v:shape id="_x0000_s1027" type="#_x0000_t202" style="position:absolute;margin-left:294pt;margin-top:328.2pt;width:396pt;height:117pt;z-index:251657728">
            <v:textbox>
              <w:txbxContent>
                <w:p w:rsidR="001C5D14" w:rsidRDefault="001C5D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There are no arrangements for late registration, and it will not be possible to make any changes to entry details a</w:t>
                  </w:r>
                  <w:r w:rsidR="00941D44">
                    <w:rPr>
                      <w:rFonts w:ascii="Arial" w:hAnsi="Arial" w:cs="Arial"/>
                    </w:rPr>
                    <w:t xml:space="preserve">fter </w:t>
                  </w:r>
                  <w:r w:rsidR="003D2F13">
                    <w:rPr>
                      <w:rFonts w:ascii="Arial" w:hAnsi="Arial" w:cs="Arial"/>
                    </w:rPr>
                    <w:t>15 May</w:t>
                  </w:r>
                  <w:r w:rsidR="00207705">
                    <w:rPr>
                      <w:rFonts w:ascii="Arial" w:hAnsi="Arial" w:cs="Arial"/>
                    </w:rPr>
                    <w:t xml:space="preserve"> 2012</w:t>
                  </w:r>
                  <w:r>
                    <w:rPr>
                      <w:rFonts w:ascii="Arial" w:hAnsi="Arial" w:cs="Arial"/>
                    </w:rPr>
                    <w:t>.  So, candidates must ensure that they register for the correct subjects and options.</w:t>
                  </w:r>
                </w:p>
                <w:p w:rsidR="001C5D14" w:rsidRDefault="001C5D14">
                  <w:pPr>
                    <w:rPr>
                      <w:rFonts w:ascii="Arial" w:hAnsi="Arial" w:cs="Arial"/>
                    </w:rPr>
                  </w:pPr>
                </w:p>
                <w:p w:rsidR="001C5D14" w:rsidRDefault="000B18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BEC</w:t>
                  </w:r>
                  <w:r w:rsidR="001C5D14">
                    <w:rPr>
                      <w:rFonts w:ascii="Arial" w:hAnsi="Arial" w:cs="Arial"/>
                    </w:rPr>
                    <w:t xml:space="preserve"> will provide candidates with </w:t>
                  </w:r>
                  <w:r w:rsidR="0019206D">
                    <w:rPr>
                      <w:rFonts w:ascii="Arial" w:hAnsi="Arial" w:cs="Arial"/>
                    </w:rPr>
                    <w:t>information on</w:t>
                  </w:r>
                  <w:r w:rsidR="001C5D14">
                    <w:rPr>
                      <w:rFonts w:ascii="Arial" w:hAnsi="Arial" w:cs="Arial"/>
                    </w:rPr>
                    <w:t xml:space="preserve"> the subjects </w:t>
                  </w:r>
                  <w:r w:rsidR="00F13828">
                    <w:rPr>
                      <w:rFonts w:ascii="Arial" w:hAnsi="Arial" w:cs="Arial"/>
                    </w:rPr>
                    <w:t xml:space="preserve">and options which are available </w:t>
                  </w:r>
                  <w:r w:rsidR="001C5D14">
                    <w:rPr>
                      <w:rFonts w:ascii="Arial" w:hAnsi="Arial" w:cs="Arial"/>
                    </w:rPr>
                    <w:t>to them.</w:t>
                  </w:r>
                </w:p>
              </w:txbxContent>
            </v:textbox>
          </v:shape>
        </w:pict>
      </w:r>
    </w:p>
    <w:sectPr w:rsidR="001C5D14" w:rsidSect="00D81080">
      <w:pgSz w:w="16840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3ED"/>
    <w:multiLevelType w:val="hybridMultilevel"/>
    <w:tmpl w:val="ACDC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519E1"/>
    <w:multiLevelType w:val="hybridMultilevel"/>
    <w:tmpl w:val="3EE439A2"/>
    <w:lvl w:ilvl="0" w:tplc="57AE16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1D44"/>
    <w:rsid w:val="000437E3"/>
    <w:rsid w:val="000B1806"/>
    <w:rsid w:val="00165EA0"/>
    <w:rsid w:val="0018059E"/>
    <w:rsid w:val="0019206D"/>
    <w:rsid w:val="001C5D14"/>
    <w:rsid w:val="00207705"/>
    <w:rsid w:val="00345098"/>
    <w:rsid w:val="003D2F13"/>
    <w:rsid w:val="004A2657"/>
    <w:rsid w:val="004C23CD"/>
    <w:rsid w:val="004F6AB9"/>
    <w:rsid w:val="0068633E"/>
    <w:rsid w:val="006B3C7C"/>
    <w:rsid w:val="00710458"/>
    <w:rsid w:val="00786AB6"/>
    <w:rsid w:val="007B4509"/>
    <w:rsid w:val="007D459C"/>
    <w:rsid w:val="00853C27"/>
    <w:rsid w:val="00930969"/>
    <w:rsid w:val="00941D44"/>
    <w:rsid w:val="00972D6A"/>
    <w:rsid w:val="00A92C71"/>
    <w:rsid w:val="00C034AC"/>
    <w:rsid w:val="00D00501"/>
    <w:rsid w:val="00D81080"/>
    <w:rsid w:val="00EB54BC"/>
    <w:rsid w:val="00F13828"/>
    <w:rsid w:val="00F25D2D"/>
    <w:rsid w:val="00F3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A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F6AB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F6AB9"/>
    <w:pPr>
      <w:keepNext/>
      <w:jc w:val="center"/>
      <w:outlineLvl w:val="1"/>
    </w:pPr>
    <w:rPr>
      <w:rFonts w:ascii="Arial" w:hAnsi="Arial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6AB9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D8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ERTD(MOE) Government of  Bots</dc:creator>
  <cp:lastModifiedBy>ghirschfeldt</cp:lastModifiedBy>
  <cp:revision>3</cp:revision>
  <cp:lastPrinted>2012-03-05T12:21:00Z</cp:lastPrinted>
  <dcterms:created xsi:type="dcterms:W3CDTF">2012-03-05T09:16:00Z</dcterms:created>
  <dcterms:modified xsi:type="dcterms:W3CDTF">2012-03-05T12:26:00Z</dcterms:modified>
</cp:coreProperties>
</file>